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935C6" w14:textId="77777777" w:rsidR="00EC48F4" w:rsidRPr="00EC48F4" w:rsidRDefault="00EC48F4" w:rsidP="00EC48F4">
      <w:pPr>
        <w:keepNext/>
        <w:keepLines/>
        <w:spacing w:before="220" w:after="220" w:line="240" w:lineRule="auto"/>
        <w:ind w:left="1134" w:hanging="1134"/>
        <w:outlineLvl w:val="0"/>
        <w:rPr>
          <w:rFonts w:ascii="Arial" w:eastAsiaTheme="majorEastAsia" w:hAnsi="Arial" w:cstheme="majorBidi"/>
          <w:b/>
          <w:bCs/>
          <w:sz w:val="28"/>
          <w:szCs w:val="28"/>
        </w:rPr>
      </w:pPr>
      <w:r w:rsidRPr="00EC48F4">
        <w:rPr>
          <w:rFonts w:ascii="Arial" w:eastAsiaTheme="majorEastAsia" w:hAnsi="Arial" w:cstheme="majorBidi"/>
          <w:b/>
          <w:bCs/>
          <w:sz w:val="28"/>
          <w:szCs w:val="28"/>
        </w:rPr>
        <w:t>Performance Indicators (PI’s)</w:t>
      </w:r>
    </w:p>
    <w:p w14:paraId="19B0B8D6" w14:textId="0EFE3975" w:rsidR="00EC48F4" w:rsidRDefault="00EC48F4" w:rsidP="00EC48F4">
      <w:pPr>
        <w:keepNext/>
        <w:keepLines/>
        <w:numPr>
          <w:ilvl w:val="1"/>
          <w:numId w:val="0"/>
        </w:numPr>
        <w:spacing w:before="220" w:after="220" w:line="240" w:lineRule="auto"/>
        <w:outlineLvl w:val="1"/>
        <w:rPr>
          <w:rFonts w:ascii="Arial" w:eastAsiaTheme="majorEastAsia" w:hAnsi="Arial" w:cstheme="majorBidi"/>
          <w:sz w:val="24"/>
        </w:rPr>
      </w:pPr>
      <w:r w:rsidRPr="00EC48F4">
        <w:rPr>
          <w:rFonts w:ascii="Arial" w:eastAsiaTheme="majorEastAsia" w:hAnsi="Arial" w:cstheme="majorBidi"/>
          <w:sz w:val="24"/>
        </w:rPr>
        <w:t xml:space="preserve">The overall purpose of Performance Indicators is </w:t>
      </w:r>
      <w:r>
        <w:rPr>
          <w:rFonts w:ascii="Arial" w:eastAsiaTheme="majorEastAsia" w:hAnsi="Arial" w:cstheme="majorBidi"/>
          <w:sz w:val="24"/>
        </w:rPr>
        <w:t xml:space="preserve">to contribute to and facilitate </w:t>
      </w:r>
      <w:r w:rsidRPr="00EC48F4">
        <w:rPr>
          <w:rFonts w:ascii="Arial" w:eastAsiaTheme="majorEastAsia" w:hAnsi="Arial" w:cstheme="majorBidi"/>
          <w:sz w:val="24"/>
        </w:rPr>
        <w:t>the continuous improvement in efficiency and effectiveness of services.  The outturn figures for each of the PI’s for 20</w:t>
      </w:r>
      <w:r w:rsidR="000C7469">
        <w:rPr>
          <w:rFonts w:ascii="Arial" w:eastAsiaTheme="majorEastAsia" w:hAnsi="Arial" w:cstheme="majorBidi"/>
          <w:sz w:val="24"/>
        </w:rPr>
        <w:t>20</w:t>
      </w:r>
      <w:r w:rsidR="00A01843">
        <w:rPr>
          <w:rFonts w:ascii="Arial" w:eastAsiaTheme="majorEastAsia" w:hAnsi="Arial" w:cstheme="majorBidi"/>
          <w:sz w:val="24"/>
        </w:rPr>
        <w:t>/2</w:t>
      </w:r>
      <w:r w:rsidR="000C7469">
        <w:rPr>
          <w:rFonts w:ascii="Arial" w:eastAsiaTheme="majorEastAsia" w:hAnsi="Arial" w:cstheme="majorBidi"/>
          <w:sz w:val="24"/>
        </w:rPr>
        <w:t>1</w:t>
      </w:r>
      <w:r w:rsidRPr="00EC48F4">
        <w:rPr>
          <w:rFonts w:ascii="Arial" w:eastAsiaTheme="majorEastAsia" w:hAnsi="Arial" w:cstheme="majorBidi"/>
          <w:sz w:val="24"/>
        </w:rPr>
        <w:t xml:space="preserve"> are shown in the table below along with the figures for 201</w:t>
      </w:r>
      <w:r w:rsidR="000C7469">
        <w:rPr>
          <w:rFonts w:ascii="Arial" w:eastAsiaTheme="majorEastAsia" w:hAnsi="Arial" w:cstheme="majorBidi"/>
          <w:sz w:val="24"/>
        </w:rPr>
        <w:t>9</w:t>
      </w:r>
      <w:r w:rsidRPr="00EC48F4">
        <w:rPr>
          <w:rFonts w:ascii="Arial" w:eastAsiaTheme="majorEastAsia" w:hAnsi="Arial" w:cstheme="majorBidi"/>
          <w:sz w:val="24"/>
        </w:rPr>
        <w:t>/</w:t>
      </w:r>
      <w:r w:rsidR="000C7469">
        <w:rPr>
          <w:rFonts w:ascii="Arial" w:eastAsiaTheme="majorEastAsia" w:hAnsi="Arial" w:cstheme="majorBidi"/>
          <w:sz w:val="24"/>
        </w:rPr>
        <w:t>20</w:t>
      </w:r>
      <w:r w:rsidRPr="00EC48F4">
        <w:rPr>
          <w:rFonts w:ascii="Arial" w:eastAsiaTheme="majorEastAsia" w:hAnsi="Arial" w:cstheme="majorBidi"/>
          <w:sz w:val="24"/>
        </w:rPr>
        <w:t>.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69"/>
        <w:gridCol w:w="1559"/>
        <w:gridCol w:w="1560"/>
      </w:tblGrid>
      <w:tr w:rsidR="000C7469" w:rsidRPr="000C7469" w14:paraId="58CE09A1" w14:textId="77777777" w:rsidTr="000C7469">
        <w:trPr>
          <w:jc w:val="center"/>
        </w:trPr>
        <w:tc>
          <w:tcPr>
            <w:tcW w:w="8947" w:type="dxa"/>
            <w:gridSpan w:val="4"/>
          </w:tcPr>
          <w:p w14:paraId="1AF8E0A0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b/>
                <w:sz w:val="24"/>
                <w:szCs w:val="24"/>
              </w:rPr>
              <w:t>Corporate Health Indicators</w:t>
            </w:r>
          </w:p>
        </w:tc>
      </w:tr>
      <w:tr w:rsidR="000C7469" w:rsidRPr="000C7469" w14:paraId="643C008C" w14:textId="77777777" w:rsidTr="000C7469">
        <w:trPr>
          <w:jc w:val="center"/>
        </w:trPr>
        <w:tc>
          <w:tcPr>
            <w:tcW w:w="959" w:type="dxa"/>
          </w:tcPr>
          <w:p w14:paraId="73544578" w14:textId="77777777" w:rsidR="000C7469" w:rsidRPr="000C7469" w:rsidRDefault="000C7469" w:rsidP="000C7469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b/>
                <w:sz w:val="24"/>
                <w:szCs w:val="24"/>
              </w:rPr>
              <w:t>Ref.</w:t>
            </w:r>
          </w:p>
        </w:tc>
        <w:tc>
          <w:tcPr>
            <w:tcW w:w="4869" w:type="dxa"/>
          </w:tcPr>
          <w:p w14:paraId="02FA0096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10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b/>
                <w:sz w:val="24"/>
                <w:szCs w:val="24"/>
              </w:rPr>
              <w:t>Description of Indicator</w:t>
            </w:r>
          </w:p>
        </w:tc>
        <w:tc>
          <w:tcPr>
            <w:tcW w:w="1559" w:type="dxa"/>
            <w:shd w:val="clear" w:color="auto" w:fill="auto"/>
          </w:tcPr>
          <w:p w14:paraId="4BF534DC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b/>
                <w:sz w:val="24"/>
                <w:szCs w:val="24"/>
              </w:rPr>
              <w:t>2019/20</w:t>
            </w:r>
          </w:p>
          <w:p w14:paraId="18F9C8DF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b/>
                <w:sz w:val="24"/>
                <w:szCs w:val="24"/>
              </w:rPr>
              <w:t>Outturn</w:t>
            </w:r>
          </w:p>
        </w:tc>
        <w:tc>
          <w:tcPr>
            <w:tcW w:w="1560" w:type="dxa"/>
            <w:shd w:val="clear" w:color="auto" w:fill="auto"/>
          </w:tcPr>
          <w:p w14:paraId="419BE189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b/>
                <w:sz w:val="24"/>
                <w:szCs w:val="24"/>
              </w:rPr>
              <w:t>2020/21</w:t>
            </w:r>
          </w:p>
          <w:p w14:paraId="14282C66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b/>
                <w:sz w:val="24"/>
                <w:szCs w:val="24"/>
              </w:rPr>
              <w:t>Outturn</w:t>
            </w:r>
          </w:p>
        </w:tc>
      </w:tr>
      <w:tr w:rsidR="000C7469" w:rsidRPr="000C7469" w14:paraId="19B1F52C" w14:textId="77777777" w:rsidTr="000C7469">
        <w:trPr>
          <w:jc w:val="center"/>
        </w:trPr>
        <w:tc>
          <w:tcPr>
            <w:tcW w:w="959" w:type="dxa"/>
          </w:tcPr>
          <w:p w14:paraId="6CEDDD3D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C4D59F4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CH 1</w:t>
            </w:r>
          </w:p>
        </w:tc>
        <w:tc>
          <w:tcPr>
            <w:tcW w:w="4869" w:type="dxa"/>
          </w:tcPr>
          <w:p w14:paraId="3E80DBF4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ind w:left="-104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82F249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The level (if any) of the Fire and Rescue Service Equality Framework to which the Authority conforms</w:t>
            </w:r>
          </w:p>
          <w:p w14:paraId="6A95C1C5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E378819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6CDF48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Achieving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2BE897A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ACC943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Achieving</w:t>
            </w:r>
          </w:p>
        </w:tc>
      </w:tr>
      <w:tr w:rsidR="000C7469" w:rsidRPr="000C7469" w14:paraId="2FF38EE0" w14:textId="77777777" w:rsidTr="000C7469">
        <w:trPr>
          <w:jc w:val="center"/>
        </w:trPr>
        <w:tc>
          <w:tcPr>
            <w:tcW w:w="959" w:type="dxa"/>
            <w:vMerge w:val="restart"/>
          </w:tcPr>
          <w:p w14:paraId="5B175DB1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723ECC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CH 4</w:t>
            </w:r>
          </w:p>
        </w:tc>
        <w:tc>
          <w:tcPr>
            <w:tcW w:w="4869" w:type="dxa"/>
            <w:tcBorders>
              <w:bottom w:val="single" w:sz="4" w:space="0" w:color="auto"/>
            </w:tcBorders>
          </w:tcPr>
          <w:p w14:paraId="7BDFD65F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2FF88A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Average number of working days / shifts lost to sickness (short-term and long-term).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C5EB40E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2E4278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7.61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1B8D714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1FD9CF" w14:textId="77777777" w:rsidR="000C7469" w:rsidRPr="000C7469" w:rsidRDefault="000C7469" w:rsidP="000C7469">
            <w:pPr>
              <w:spacing w:after="2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10.66*</w:t>
            </w:r>
          </w:p>
        </w:tc>
      </w:tr>
      <w:tr w:rsidR="000C7469" w:rsidRPr="000C7469" w14:paraId="55ADA229" w14:textId="77777777" w:rsidTr="000C7469">
        <w:trPr>
          <w:jc w:val="center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14:paraId="2DBCF574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</w:tcPr>
          <w:p w14:paraId="452120F5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FA2B3A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Average number of working days / shifts lost to long term sickness</w:t>
            </w:r>
          </w:p>
          <w:p w14:paraId="725909D6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CDB58AB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5E570C2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3.89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E23BE1C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4106C6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5.64*</w:t>
            </w:r>
          </w:p>
        </w:tc>
      </w:tr>
      <w:tr w:rsidR="000C7469" w:rsidRPr="000C7469" w14:paraId="7FEFDF84" w14:textId="77777777" w:rsidTr="000C7469">
        <w:trPr>
          <w:trHeight w:val="592"/>
          <w:jc w:val="center"/>
        </w:trPr>
        <w:tc>
          <w:tcPr>
            <w:tcW w:w="959" w:type="dxa"/>
            <w:vMerge w:val="restart"/>
          </w:tcPr>
          <w:p w14:paraId="0132DCA2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CH 5</w:t>
            </w:r>
          </w:p>
        </w:tc>
        <w:tc>
          <w:tcPr>
            <w:tcW w:w="4869" w:type="dxa"/>
            <w:tcBorders>
              <w:bottom w:val="nil"/>
              <w:right w:val="single" w:sz="4" w:space="0" w:color="auto"/>
            </w:tcBorders>
          </w:tcPr>
          <w:p w14:paraId="1746EF3F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Health and Safety – Total Injuries to staff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5506CD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F2AD52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C7469" w:rsidRPr="000C7469" w14:paraId="04F2B102" w14:textId="77777777" w:rsidTr="000C7469">
        <w:trPr>
          <w:trHeight w:val="283"/>
          <w:jc w:val="center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305EC068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811CD" w14:textId="77777777" w:rsidR="000C7469" w:rsidRPr="000C7469" w:rsidRDefault="000C7469" w:rsidP="000C746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&lt;3 days Injuries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9FABE7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92B33B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0C7469" w:rsidRPr="000C7469" w14:paraId="483B7BD4" w14:textId="77777777" w:rsidTr="000C7469">
        <w:trPr>
          <w:trHeight w:val="283"/>
          <w:jc w:val="center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D7D53A5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ECA70" w14:textId="77777777" w:rsidR="000C7469" w:rsidRPr="000C7469" w:rsidRDefault="000C7469" w:rsidP="000C746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3 + days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A9214C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6F4F22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21*</w:t>
            </w:r>
          </w:p>
        </w:tc>
      </w:tr>
      <w:tr w:rsidR="000C7469" w:rsidRPr="000C7469" w14:paraId="25B1B204" w14:textId="77777777" w:rsidTr="000C7469">
        <w:trPr>
          <w:trHeight w:val="283"/>
          <w:jc w:val="center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D0A61DD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19B4" w14:textId="77777777" w:rsidR="000C7469" w:rsidRPr="000C7469" w:rsidRDefault="000C7469" w:rsidP="000C746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RIDDOR Major Injury/Disease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2F3BCDA2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244C7F05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38*</w:t>
            </w:r>
          </w:p>
        </w:tc>
      </w:tr>
      <w:tr w:rsidR="000C7469" w:rsidRPr="000C7469" w14:paraId="02E9DFE6" w14:textId="77777777" w:rsidTr="000C7469">
        <w:trPr>
          <w:trHeight w:val="253"/>
          <w:jc w:val="center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D071D12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auto"/>
            </w:tcBorders>
          </w:tcPr>
          <w:p w14:paraId="04F2F84F" w14:textId="77777777" w:rsidR="000C7469" w:rsidRPr="000C7469" w:rsidRDefault="000C7469" w:rsidP="000C746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782CAE16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651F7574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68*</w:t>
            </w:r>
          </w:p>
        </w:tc>
      </w:tr>
      <w:tr w:rsidR="000C7469" w:rsidRPr="000C7469" w14:paraId="74CED32F" w14:textId="77777777" w:rsidTr="000C7469">
        <w:trPr>
          <w:jc w:val="center"/>
        </w:trPr>
        <w:tc>
          <w:tcPr>
            <w:tcW w:w="959" w:type="dxa"/>
          </w:tcPr>
          <w:p w14:paraId="613F3E96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250FE00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CH 9</w:t>
            </w:r>
          </w:p>
        </w:tc>
        <w:tc>
          <w:tcPr>
            <w:tcW w:w="4869" w:type="dxa"/>
          </w:tcPr>
          <w:p w14:paraId="082D1A00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4B16DD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Forecast Budget Variance (% Variance against overall budget)</w:t>
            </w:r>
          </w:p>
          <w:p w14:paraId="6CB90435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0E362FD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592F97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0%</w:t>
            </w:r>
          </w:p>
        </w:tc>
        <w:tc>
          <w:tcPr>
            <w:tcW w:w="1560" w:type="dxa"/>
            <w:shd w:val="clear" w:color="auto" w:fill="auto"/>
          </w:tcPr>
          <w:p w14:paraId="3E83B016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071C20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0%</w:t>
            </w:r>
          </w:p>
        </w:tc>
      </w:tr>
      <w:tr w:rsidR="000C7469" w:rsidRPr="000C7469" w14:paraId="27395ECA" w14:textId="77777777" w:rsidTr="000C7469">
        <w:trPr>
          <w:jc w:val="center"/>
        </w:trPr>
        <w:tc>
          <w:tcPr>
            <w:tcW w:w="959" w:type="dxa"/>
          </w:tcPr>
          <w:p w14:paraId="3D88B0EE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F861DE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CH 11</w:t>
            </w:r>
          </w:p>
        </w:tc>
        <w:tc>
          <w:tcPr>
            <w:tcW w:w="4869" w:type="dxa"/>
            <w:tcBorders>
              <w:bottom w:val="single" w:sz="4" w:space="0" w:color="000000"/>
            </w:tcBorders>
          </w:tcPr>
          <w:p w14:paraId="36CF5F76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8DF53A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Forecast Capital Payments (Actual figures £s)</w:t>
            </w:r>
          </w:p>
          <w:p w14:paraId="7D059738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5A8747C9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14:paraId="12D9E162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hAnsi="Arial"/>
                <w:sz w:val="24"/>
              </w:rPr>
              <w:t>£5.982m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14:paraId="4BA82DA4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EBB988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£4.229m</w:t>
            </w:r>
          </w:p>
        </w:tc>
      </w:tr>
      <w:tr w:rsidR="000C7469" w:rsidRPr="000C7469" w14:paraId="0A36A510" w14:textId="77777777" w:rsidTr="000C7469">
        <w:trPr>
          <w:jc w:val="center"/>
        </w:trPr>
        <w:tc>
          <w:tcPr>
            <w:tcW w:w="959" w:type="dxa"/>
            <w:tcBorders>
              <w:bottom w:val="single" w:sz="4" w:space="0" w:color="000000"/>
            </w:tcBorders>
          </w:tcPr>
          <w:p w14:paraId="5EF630B1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B6D0D1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CH 13</w:t>
            </w:r>
          </w:p>
        </w:tc>
        <w:tc>
          <w:tcPr>
            <w:tcW w:w="4869" w:type="dxa"/>
            <w:tcBorders>
              <w:top w:val="single" w:sz="4" w:space="0" w:color="000000"/>
              <w:bottom w:val="single" w:sz="4" w:space="0" w:color="auto"/>
            </w:tcBorders>
          </w:tcPr>
          <w:p w14:paraId="7175A595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5E4628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Debtors – Value of debt outstanding which is over 60 days old</w:t>
            </w:r>
          </w:p>
          <w:p w14:paraId="40B63E47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A800A27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14:paraId="0D124447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hAnsi="Arial"/>
                <w:sz w:val="24"/>
              </w:rPr>
              <w:t>£86,855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10D1FD8F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F91F67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£58,882</w:t>
            </w:r>
          </w:p>
        </w:tc>
      </w:tr>
      <w:tr w:rsidR="000C7469" w:rsidRPr="000C7469" w14:paraId="45F6A25E" w14:textId="77777777" w:rsidTr="000C7469">
        <w:trPr>
          <w:trHeight w:val="519"/>
          <w:jc w:val="center"/>
        </w:trPr>
        <w:tc>
          <w:tcPr>
            <w:tcW w:w="959" w:type="dxa"/>
            <w:tcBorders>
              <w:bottom w:val="nil"/>
            </w:tcBorders>
          </w:tcPr>
          <w:p w14:paraId="6D6706D7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47E5081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CH 14</w:t>
            </w:r>
          </w:p>
        </w:tc>
        <w:tc>
          <w:tcPr>
            <w:tcW w:w="4869" w:type="dxa"/>
            <w:tcBorders>
              <w:top w:val="single" w:sz="4" w:space="0" w:color="auto"/>
              <w:bottom w:val="nil"/>
            </w:tcBorders>
          </w:tcPr>
          <w:p w14:paraId="1CE33C02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81D5B8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 xml:space="preserve">Customer Satisfaction - % Overall Satisfaction with the service provided. 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F0C824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3ACDD2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C7469" w:rsidRPr="000C7469" w14:paraId="78221186" w14:textId="77777777" w:rsidTr="000C7469">
        <w:trPr>
          <w:trHeight w:val="231"/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14:paraId="21BFC904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bottom w:val="nil"/>
            </w:tcBorders>
          </w:tcPr>
          <w:p w14:paraId="558F6243" w14:textId="77777777" w:rsidR="000C7469" w:rsidRPr="000C7469" w:rsidRDefault="000C7469" w:rsidP="000C746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Quality of Service: Domestic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8B98CF0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98%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160C2E9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99%</w:t>
            </w:r>
          </w:p>
        </w:tc>
      </w:tr>
      <w:tr w:rsidR="000C7469" w:rsidRPr="000C7469" w14:paraId="7B764D29" w14:textId="77777777" w:rsidTr="000C7469">
        <w:trPr>
          <w:jc w:val="center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</w:tcPr>
          <w:p w14:paraId="4E073A51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50561" w14:textId="77777777" w:rsidR="000C7469" w:rsidRPr="000C7469" w:rsidRDefault="000C7469" w:rsidP="000C746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Quality of Service: Non-Domestic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BC0673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98%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023B2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98%</w:t>
            </w:r>
          </w:p>
        </w:tc>
      </w:tr>
      <w:tr w:rsidR="000C7469" w:rsidRPr="000C7469" w14:paraId="2C749C95" w14:textId="77777777" w:rsidTr="000C7469">
        <w:trPr>
          <w:jc w:val="center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14:paraId="047B1483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bottom w:val="single" w:sz="4" w:space="0" w:color="auto"/>
            </w:tcBorders>
          </w:tcPr>
          <w:p w14:paraId="00CE8763" w14:textId="77777777" w:rsidR="000C7469" w:rsidRPr="000C7469" w:rsidRDefault="000C7469" w:rsidP="000C746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Safe &amp; Well Visits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2C915F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98%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D1AA06" w14:textId="77777777" w:rsidR="000C7469" w:rsidRPr="000C7469" w:rsidRDefault="000C7469" w:rsidP="000C746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7469">
              <w:rPr>
                <w:rFonts w:ascii="Arial" w:eastAsia="Times New Roman" w:hAnsi="Arial" w:cs="Arial"/>
                <w:sz w:val="24"/>
                <w:szCs w:val="24"/>
              </w:rPr>
              <w:t>**</w:t>
            </w:r>
          </w:p>
        </w:tc>
      </w:tr>
    </w:tbl>
    <w:p w14:paraId="4D06525E" w14:textId="77777777" w:rsidR="000C7469" w:rsidRDefault="000C7469" w:rsidP="000C7469">
      <w:pPr>
        <w:keepNext/>
        <w:keepLines/>
        <w:spacing w:before="220"/>
        <w:ind w:left="1134"/>
        <w:outlineLvl w:val="0"/>
        <w:rPr>
          <w:rFonts w:eastAsiaTheme="majorEastAsia" w:cstheme="majorBidi"/>
          <w:i/>
          <w:iCs/>
        </w:rPr>
      </w:pPr>
      <w:r w:rsidRPr="00AB6AA4">
        <w:rPr>
          <w:rFonts w:eastAsiaTheme="majorEastAsia" w:cstheme="majorBidi"/>
          <w:b/>
          <w:bCs/>
          <w:i/>
          <w:iCs/>
          <w:sz w:val="24"/>
          <w:szCs w:val="24"/>
        </w:rPr>
        <w:t xml:space="preserve">* </w:t>
      </w:r>
      <w:r w:rsidRPr="00AB6AA4">
        <w:rPr>
          <w:rFonts w:eastAsiaTheme="majorEastAsia" w:cstheme="majorBidi"/>
          <w:i/>
          <w:iCs/>
        </w:rPr>
        <w:t>These figures include any sickness due to Covid</w:t>
      </w:r>
      <w:r>
        <w:rPr>
          <w:rFonts w:eastAsiaTheme="majorEastAsia" w:cstheme="majorBidi"/>
          <w:i/>
          <w:iCs/>
        </w:rPr>
        <w:t>-</w:t>
      </w:r>
      <w:r w:rsidRPr="00AB6AA4">
        <w:rPr>
          <w:rFonts w:eastAsiaTheme="majorEastAsia" w:cstheme="majorBidi"/>
          <w:i/>
          <w:iCs/>
        </w:rPr>
        <w:t>19</w:t>
      </w:r>
      <w:r>
        <w:rPr>
          <w:rFonts w:eastAsiaTheme="majorEastAsia" w:cstheme="majorBidi"/>
          <w:i/>
          <w:iCs/>
        </w:rPr>
        <w:t>,</w:t>
      </w:r>
      <w:r w:rsidRPr="00AB6AA4">
        <w:rPr>
          <w:rFonts w:eastAsiaTheme="majorEastAsia" w:cstheme="majorBidi"/>
          <w:i/>
          <w:iCs/>
        </w:rPr>
        <w:t xml:space="preserve"> </w:t>
      </w:r>
      <w:r>
        <w:rPr>
          <w:rFonts w:eastAsiaTheme="majorEastAsia" w:cstheme="majorBidi"/>
          <w:i/>
          <w:iCs/>
        </w:rPr>
        <w:t xml:space="preserve">and in the case of CH4 also </w:t>
      </w:r>
      <w:r w:rsidRPr="00AB6AA4">
        <w:rPr>
          <w:rFonts w:eastAsiaTheme="majorEastAsia" w:cstheme="majorBidi"/>
          <w:i/>
          <w:iCs/>
        </w:rPr>
        <w:t>Self Isolation absence relating to Covid-19</w:t>
      </w:r>
    </w:p>
    <w:p w14:paraId="449D001A" w14:textId="1E93F323" w:rsidR="000C7469" w:rsidRPr="005372AB" w:rsidRDefault="000C7469" w:rsidP="000C7469">
      <w:pPr>
        <w:keepNext/>
        <w:keepLines/>
        <w:spacing w:before="220"/>
        <w:ind w:left="1134"/>
        <w:outlineLvl w:val="0"/>
        <w:rPr>
          <w:sz w:val="20"/>
          <w:szCs w:val="20"/>
        </w:rPr>
      </w:pPr>
      <w:r w:rsidRPr="005372AB">
        <w:rPr>
          <w:rFonts w:eastAsiaTheme="majorEastAsia" w:cstheme="majorBidi"/>
          <w:i/>
          <w:iCs/>
        </w:rPr>
        <w:t>** No surveys sent out due to suspension of visits because of Covid-19 restrictions</w:t>
      </w:r>
    </w:p>
    <w:p w14:paraId="5F9E04E4" w14:textId="740F86C9" w:rsidR="000C7469" w:rsidRDefault="000C7469" w:rsidP="000C7469">
      <w:pPr>
        <w:keepNext/>
        <w:keepLines/>
        <w:numPr>
          <w:ilvl w:val="1"/>
          <w:numId w:val="0"/>
        </w:numPr>
        <w:spacing w:before="220" w:after="220" w:line="240" w:lineRule="auto"/>
        <w:outlineLvl w:val="1"/>
        <w:rPr>
          <w:rFonts w:ascii="Arial" w:eastAsiaTheme="majorEastAsia" w:hAnsi="Arial" w:cstheme="majorBidi"/>
          <w:sz w:val="24"/>
        </w:rPr>
      </w:pPr>
    </w:p>
    <w:sectPr w:rsidR="000C7469" w:rsidSect="000C7469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85C0C" w14:textId="77777777" w:rsidR="000C7469" w:rsidRDefault="000C7469" w:rsidP="000C7469">
      <w:pPr>
        <w:spacing w:after="0" w:line="240" w:lineRule="auto"/>
      </w:pPr>
      <w:r>
        <w:separator/>
      </w:r>
    </w:p>
  </w:endnote>
  <w:endnote w:type="continuationSeparator" w:id="0">
    <w:p w14:paraId="0EDA4AFD" w14:textId="77777777" w:rsidR="000C7469" w:rsidRDefault="000C7469" w:rsidP="000C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BAF6C" w14:textId="77777777" w:rsidR="000C7469" w:rsidRDefault="000C7469" w:rsidP="000C7469">
      <w:pPr>
        <w:spacing w:after="0" w:line="240" w:lineRule="auto"/>
      </w:pPr>
      <w:r>
        <w:separator/>
      </w:r>
    </w:p>
  </w:footnote>
  <w:footnote w:type="continuationSeparator" w:id="0">
    <w:p w14:paraId="41CF5212" w14:textId="77777777" w:rsidR="000C7469" w:rsidRDefault="000C7469" w:rsidP="000C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6E0A62"/>
    <w:multiLevelType w:val="hybridMultilevel"/>
    <w:tmpl w:val="550290EC"/>
    <w:lvl w:ilvl="0" w:tplc="38BC14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F4"/>
    <w:rsid w:val="000C7469"/>
    <w:rsid w:val="00A01843"/>
    <w:rsid w:val="00DD3438"/>
    <w:rsid w:val="00EC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4E95"/>
  <w15:docId w15:val="{50F83D13-D93A-48AC-B52D-D61A3FB9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469"/>
  </w:style>
  <w:style w:type="paragraph" w:styleId="Footer">
    <w:name w:val="footer"/>
    <w:basedOn w:val="Normal"/>
    <w:link w:val="FooterChar"/>
    <w:uiPriority w:val="99"/>
    <w:unhideWhenUsed/>
    <w:rsid w:val="000C7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635381634283318860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635381634283318860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635381634283318860</Data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MTitle xmlns="c59a07a7-66be-4dd0-858f-0700cb1872ec" xsi:nil="true"/>
    <_dlc_DocId xmlns="ffccd79c-acaf-4210-992e-63d656bdebe8">IT74F4A52UY-897126440-30475</_dlc_DocId>
    <_dlc_DocIdUrl xmlns="ffccd79c-acaf-4210-992e-63d656bdebe8">
      <Url>http://wyfirespace.westyorksfire.gov.uk/teams/corporateservices/_layouts/DocIdRedir.aspx?ID=IT74F4A52UY-897126440-30475</Url>
      <Description>IT74F4A52UY-897126440-30475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0261D5C252E48993AE3E280F2ADD6" ma:contentTypeVersion="11" ma:contentTypeDescription="Create a new document." ma:contentTypeScope="" ma:versionID="a9fcbfd7bb8e7a906ada25b6423cc3ef">
  <xsd:schema xmlns:xsd="http://www.w3.org/2001/XMLSchema" xmlns:xs="http://www.w3.org/2001/XMLSchema" xmlns:p="http://schemas.microsoft.com/office/2006/metadata/properties" xmlns:ns2="c59a07a7-66be-4dd0-858f-0700cb1872ec" xmlns:ns3="ffccd79c-acaf-4210-992e-63d656bdebe8" targetNamespace="http://schemas.microsoft.com/office/2006/metadata/properties" ma:root="true" ma:fieldsID="4fb1902c3788010fdf678b2e851ed496" ns2:_="" ns3:_="">
    <xsd:import namespace="c59a07a7-66be-4dd0-858f-0700cb1872ec"/>
    <xsd:import namespace="ffccd79c-acaf-4210-992e-63d656bdebe8"/>
    <xsd:element name="properties">
      <xsd:complexType>
        <xsd:sequence>
          <xsd:element name="documentManagement">
            <xsd:complexType>
              <xsd:all>
                <xsd:element ref="ns2:AVMTitl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a07a7-66be-4dd0-858f-0700cb1872ec" elementFormDefault="qualified">
    <xsd:import namespace="http://schemas.microsoft.com/office/2006/documentManagement/types"/>
    <xsd:import namespace="http://schemas.microsoft.com/office/infopath/2007/PartnerControls"/>
    <xsd:element name="AVMTitle" ma:index="8" nillable="true" ma:displayName="Title" ma:internalName="AVM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cd79c-acaf-4210-992e-63d656bdebe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51FFD-09C2-4856-AAB8-6F6EF7762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EB6CC-0A14-4618-A649-4266988A53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863CCE-7D34-46A4-B751-02C525D9A4BD}">
  <ds:schemaRefs>
    <ds:schemaRef ds:uri="http://schemas.microsoft.com/office/2006/metadata/properties"/>
    <ds:schemaRef ds:uri="http://schemas.microsoft.com/office/infopath/2007/PartnerControls"/>
    <ds:schemaRef ds:uri="c59a07a7-66be-4dd0-858f-0700cb1872ec"/>
    <ds:schemaRef ds:uri="ffccd79c-acaf-4210-992e-63d656bdebe8"/>
  </ds:schemaRefs>
</ds:datastoreItem>
</file>

<file path=customXml/itemProps4.xml><?xml version="1.0" encoding="utf-8"?>
<ds:datastoreItem xmlns:ds="http://schemas.openxmlformats.org/officeDocument/2006/customXml" ds:itemID="{E2E3E9AB-0A13-43DA-9218-70A6B7408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a07a7-66be-4dd0-858f-0700cb1872ec"/>
    <ds:schemaRef ds:uri="ffccd79c-acaf-4210-992e-63d656bde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WYFRS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Beverley Croft-Nicholson</cp:lastModifiedBy>
  <cp:revision>2</cp:revision>
  <dcterms:created xsi:type="dcterms:W3CDTF">2021-06-25T09:15:00Z</dcterms:created>
  <dcterms:modified xsi:type="dcterms:W3CDTF">2021-06-25T09:15:00Z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0x010100AFF0261D5C252E48993AE3E280F2ADD6</vt:lpwstr>
  </property>
  <property fmtid="{D5CDD505-2E9C-101B-9397-08002B2CF9AE}" pid="3" name="_dlc_DocIdItemGuid">
    <vt:lpwstr>7c39d0e8-a28a-403a-8e1f-1b1ca2e96d5c</vt:lpwstr>
  </property>
</Properties>
</file>